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Метапредметные результаты обучающихся</w:t>
      </w:r>
    </w:p>
    <w:p>
      <w:r>
        <w:rPr>
          <w:sz w:val="22"/>
          <w:szCs w:val="22"/>
        </w:rPr>
        <w:t xml:space="preserve">Школа № 17 · 2026/27 учебный год · материалы для внутренней системы оценки качества образования</w:t>
      </w:r>
    </w:p>
    <w:p>
      <w:r>
        <w:rPr>
          <w:i/>
          <w:iCs/>
          <w:sz w:val="18"/>
          <w:szCs w:val="18"/>
        </w:rPr>
        <w:t xml:space="preserve">Сформировано платформой «Скиллфолио Школа» 13.10.2026. Средний балл по шкале 0–100. Группы меньше 5 учеников не показываются; персональные данные в отчёт не включаются.</w:t>
      </w:r>
    </w:p>
    <w:p>
      <w:pPr>
        <w:pStyle w:val="Heading1"/>
      </w:pPr>
      <w:r>
        <w:t xml:space="preserve">1. Участие в диагностике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Этап</w:t>
            </w:r>
          </w:p>
        </w:tc>
        <w:tc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Прошли диагностику (достоверно)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Входной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44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Промежуточный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38</w:t>
            </w:r>
          </w:p>
        </w:tc>
      </w:tr>
    </w:tbl>
    <w:p>
      <w:pPr>
        <w:pStyle w:val="Heading1"/>
      </w:pPr>
      <w:r>
        <w:t xml:space="preserve">2. Результаты по параллелям (промежуточный этап)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500"/>
        <w:gridCol w:w="1500"/>
        <w:gridCol w:w="1500"/>
        <w:gridCol w:w="1500"/>
        <w:gridCol w:w="1500"/>
      </w:tblGrid>
      <w:tr>
        <w:tc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Параллель</w:t>
            </w:r>
          </w:p>
        </w:tc>
        <w:tc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Познавательные</w:t>
            </w:r>
          </w:p>
        </w:tc>
        <w:tc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Коммуникативные</w:t>
            </w:r>
          </w:p>
        </w:tc>
        <w:tc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Регулятивные</w:t>
            </w:r>
          </w:p>
        </w:tc>
        <w:tc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Итого</w:t>
            </w:r>
          </w:p>
        </w:tc>
        <w:tc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Участников</w:t>
            </w:r>
          </w:p>
        </w:tc>
      </w:tr>
      <w:tr>
        <w:tc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Школа</w:t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69</w:t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70</w:t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68</w:t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69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38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3 классы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6 классы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69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67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66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68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24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9 классы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69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74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72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71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</w:tr>
    </w:tbl>
    <w:p>
      <w:pPr>
        <w:pStyle w:val="Heading1"/>
      </w:pPr>
      <w:r>
        <w:t xml:space="preserve">3. Результаты по составляющим (школа)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c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Результат</w:t>
            </w:r>
          </w:p>
        </w:tc>
        <w:tc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Входной</w:t>
            </w:r>
          </w:p>
        </w:tc>
        <w:tc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Промежуточный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Критическое мышление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70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68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Креативное мышление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55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57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Системное мышление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67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71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Информация и цифровая грамотность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70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72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ИИ-грамотность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70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77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Общение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71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71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Совместная деятельность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70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68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Самоорганизация и самоконтроль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63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60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Эмоциональный интеллект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66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71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Гибкость и устойчивость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73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69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Ответственность и инициативность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71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73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Финансовая грамотность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70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72</w:t>
            </w:r>
          </w:p>
        </w:tc>
      </w:tr>
    </w:tbl>
    <w:p>
      <w:pPr>
        <w:pStyle w:val="Heading1"/>
      </w:pPr>
      <w:r>
        <w:t xml:space="preserve">4. Динамика за учебный год</w:t>
      </w:r>
    </w:p>
    <w:p>
      <w:r>
        <w:t xml:space="preserve">Промежуточный этап к входному: метапредметные результаты в целом +1 балла.</w:t>
      </w:r>
    </w:p>
    <w:p>
      <w:r>
        <w:rPr>
          <w:b/>
          <w:bCs/>
        </w:rPr>
        <w:t xml:space="preserve">Наибольший рост: </w:t>
      </w:r>
      <w:r>
        <w:t xml:space="preserve">ИИ-грамотность (+7); Эмоциональный интеллект (+5); Системное мышление (+4)</w:t>
      </w:r>
    </w:p>
    <w:p>
      <w:r>
        <w:rPr>
          <w:b/>
          <w:bCs/>
        </w:rPr>
        <w:t xml:space="preserve">Требуют внимания: </w:t>
      </w:r>
      <w:r>
        <w:t xml:space="preserve">Гибкость и устойчивость (-4); Самоорганизация и самоконтроль (-3); Совместная деятельность (-2)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800"/>
        <w:gridCol w:w="1800"/>
        <w:gridCol w:w="1800"/>
        <w:gridCol w:w="1800"/>
      </w:tblGrid>
      <w:tr>
        <w:tc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Параллель</w:t>
            </w:r>
          </w:p>
        </w:tc>
        <w:tc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Познавательные</w:t>
            </w:r>
          </w:p>
        </w:tc>
        <w:tc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Коммуникативные</w:t>
            </w:r>
          </w:p>
        </w:tc>
        <w:tc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Регулятивные</w:t>
            </w:r>
          </w:p>
        </w:tc>
        <w:tc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Итого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3 классы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6 классы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+2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-2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-1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+1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>9 классы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+3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0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-1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+1</w:t>
            </w:r>
          </w:p>
        </w:tc>
      </w:tr>
    </w:tbl>
    <w:p>
      <w:pPr>
        <w:pStyle w:val="Heading1"/>
      </w:pPr>
      <w:r>
        <w:t xml:space="preserve">5. Психолого-педагогическое сопровождение</w:t>
      </w:r>
    </w:p>
    <w:p>
      <w:r>
        <w:t xml:space="preserve">За учебный год выявлено сигналов: 20, из них работа завершена по 1. По уровням: красный — 6, жёлтый — 13, информационный — 1.</w:t>
      </w:r>
    </w:p>
    <w:p>
      <w:r>
        <w:t xml:space="preserve">По типам: безопасность — 1, множественный — 5, благополучие — 1, расхождение школа – дом — 1, финансовая уязвимость — 12.</w:t>
      </w:r>
    </w:p>
    <w:p>
      <w:pPr>
        <w:pStyle w:val="Heading1"/>
      </w:pPr>
      <w:r>
        <w:t xml:space="preserve">Методика</w:t>
      </w:r>
    </w:p>
    <w:p>
      <w:r>
        <w:rPr>
          <w:sz w:val="20"/>
          <w:szCs w:val="20"/>
        </w:rPr>
        <w:t xml:space="preserve">Диагностика проводится по единой методике Скиллфолио три раза в учебный год. Задания — ситуационные задачи, кейсы и открытые вопросы, отдельные для 1–4, 5–7, 8–9 и 10–11 классов. В расчёт включаются только достоверные прохождения. Открытые ответы оцениваются по рубрикам; итоговую оценку подтверждает педагог или педагог-психолог.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2026-10-13T12:15:55.601Z</dcterms:created>
  <dcterms:modified xsi:type="dcterms:W3CDTF">2026-10-13T12:15:55.601Z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